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37" w:rsidRPr="00AD4426" w:rsidRDefault="00AD4426" w:rsidP="00AD4426">
      <w:pPr>
        <w:pStyle w:val="Title"/>
        <w:rPr>
          <w:sz w:val="28"/>
        </w:rPr>
      </w:pPr>
      <w:r w:rsidRPr="00AD4426">
        <w:rPr>
          <w:sz w:val="28"/>
        </w:rPr>
        <w:t>Scope and Objective of the Risk Assessment CoR</w:t>
      </w:r>
    </w:p>
    <w:p w:rsidR="00023506" w:rsidRPr="00855CEA" w:rsidRDefault="00023506">
      <w:pPr>
        <w:rPr>
          <w:rFonts w:cs="Calibri"/>
        </w:rPr>
      </w:pPr>
    </w:p>
    <w:p w:rsidR="00023506" w:rsidRPr="006F5A69" w:rsidRDefault="009E291F">
      <w:pPr>
        <w:rPr>
          <w:rFonts w:cs="Calibri"/>
          <w:b/>
        </w:rPr>
      </w:pPr>
      <w:r w:rsidRPr="006F5A69">
        <w:rPr>
          <w:rFonts w:cs="Calibri"/>
          <w:b/>
        </w:rPr>
        <w:t>Scope</w:t>
      </w:r>
    </w:p>
    <w:p w:rsidR="00023506" w:rsidRDefault="003C5F27" w:rsidP="006F5A69">
      <w:pPr>
        <w:ind w:left="360"/>
        <w:rPr>
          <w:rFonts w:cs="Calibri"/>
        </w:rPr>
      </w:pPr>
      <w:r>
        <w:rPr>
          <w:rFonts w:cs="Calibri"/>
        </w:rPr>
        <w:t>S</w:t>
      </w:r>
      <w:r w:rsidR="001D25BE" w:rsidRPr="00855CEA">
        <w:rPr>
          <w:rFonts w:cs="Calibri"/>
        </w:rPr>
        <w:t xml:space="preserve">haring </w:t>
      </w:r>
      <w:r>
        <w:rPr>
          <w:rFonts w:cs="Calibri"/>
        </w:rPr>
        <w:t xml:space="preserve">of </w:t>
      </w:r>
      <w:r w:rsidR="001D25BE" w:rsidRPr="00855CEA">
        <w:rPr>
          <w:rFonts w:cs="Calibri"/>
        </w:rPr>
        <w:t xml:space="preserve">knowledge and expertise to harmonize and </w:t>
      </w:r>
      <w:r w:rsidR="00B31749">
        <w:rPr>
          <w:rFonts w:cs="Calibri"/>
        </w:rPr>
        <w:t>synthesize</w:t>
      </w:r>
      <w:r w:rsidR="00B31749" w:rsidRPr="00855CEA">
        <w:rPr>
          <w:rFonts w:cs="Calibri"/>
        </w:rPr>
        <w:t xml:space="preserve"> </w:t>
      </w:r>
      <w:r w:rsidR="001D25BE" w:rsidRPr="00855CEA">
        <w:rPr>
          <w:rFonts w:cs="Calibri"/>
        </w:rPr>
        <w:t>research on</w:t>
      </w:r>
      <w:r w:rsidR="00023506" w:rsidRPr="00855CEA">
        <w:rPr>
          <w:rFonts w:cs="Calibri"/>
        </w:rPr>
        <w:t xml:space="preserve"> methods and practices for analyzing </w:t>
      </w:r>
      <w:r w:rsidR="001D25BE" w:rsidRPr="00855CEA">
        <w:rPr>
          <w:rFonts w:cs="Calibri"/>
        </w:rPr>
        <w:t xml:space="preserve">potential </w:t>
      </w:r>
      <w:r w:rsidR="00F306EB">
        <w:rPr>
          <w:rFonts w:cs="Calibri"/>
        </w:rPr>
        <w:t>risks</w:t>
      </w:r>
      <w:r>
        <w:rPr>
          <w:rFonts w:cs="Calibri"/>
        </w:rPr>
        <w:t xml:space="preserve"> </w:t>
      </w:r>
      <w:r w:rsidR="00F306EB">
        <w:rPr>
          <w:rFonts w:cs="Calibri"/>
        </w:rPr>
        <w:t xml:space="preserve">for </w:t>
      </w:r>
      <w:r w:rsidR="001D25BE" w:rsidRPr="00855CEA">
        <w:rPr>
          <w:rFonts w:cs="Calibri"/>
        </w:rPr>
        <w:t xml:space="preserve">human health and the environment </w:t>
      </w:r>
      <w:r w:rsidR="00023506" w:rsidRPr="00855CEA">
        <w:rPr>
          <w:rFonts w:cs="Calibri"/>
        </w:rPr>
        <w:t xml:space="preserve">associated with </w:t>
      </w:r>
      <w:r w:rsidR="003A198E">
        <w:rPr>
          <w:rFonts w:cs="Calibri"/>
        </w:rPr>
        <w:t xml:space="preserve">nanotechnology-related hazards and </w:t>
      </w:r>
      <w:r w:rsidR="00DD62C7">
        <w:rPr>
          <w:rFonts w:cs="Calibri"/>
        </w:rPr>
        <w:t xml:space="preserve">exposure </w:t>
      </w:r>
      <w:r w:rsidR="003A198E">
        <w:rPr>
          <w:rFonts w:cs="Calibri"/>
        </w:rPr>
        <w:t xml:space="preserve">to those hazards </w:t>
      </w:r>
      <w:r w:rsidR="00DD62C7">
        <w:rPr>
          <w:rFonts w:cs="Calibri"/>
        </w:rPr>
        <w:t xml:space="preserve">during </w:t>
      </w:r>
      <w:r w:rsidR="00F306EB">
        <w:rPr>
          <w:rFonts w:cs="Calibri"/>
        </w:rPr>
        <w:t xml:space="preserve">the </w:t>
      </w:r>
      <w:r w:rsidR="00680939">
        <w:rPr>
          <w:rFonts w:cs="Calibri"/>
        </w:rPr>
        <w:t xml:space="preserve">development, production, use, </w:t>
      </w:r>
      <w:r w:rsidR="00FF36BB">
        <w:rPr>
          <w:rFonts w:cs="Calibri"/>
        </w:rPr>
        <w:t xml:space="preserve">and </w:t>
      </w:r>
      <w:r w:rsidR="00DD62C7">
        <w:rPr>
          <w:rFonts w:cs="Calibri"/>
        </w:rPr>
        <w:t>disposal of</w:t>
      </w:r>
      <w:r w:rsidR="00F306EB">
        <w:rPr>
          <w:rFonts w:cs="Calibri"/>
        </w:rPr>
        <w:t xml:space="preserve"> </w:t>
      </w:r>
      <w:r w:rsidR="00023506" w:rsidRPr="00855CEA">
        <w:rPr>
          <w:rFonts w:cs="Calibri"/>
        </w:rPr>
        <w:t>engineered nanomaterials</w:t>
      </w:r>
      <w:r w:rsidR="00996665">
        <w:rPr>
          <w:rFonts w:cs="Calibri"/>
        </w:rPr>
        <w:t xml:space="preserve"> </w:t>
      </w:r>
      <w:r w:rsidR="00FF36BB">
        <w:rPr>
          <w:rFonts w:cs="Calibri"/>
        </w:rPr>
        <w:t xml:space="preserve">and nano-enable products </w:t>
      </w:r>
      <w:r w:rsidR="00133A43">
        <w:rPr>
          <w:rFonts w:cs="Calibri"/>
        </w:rPr>
        <w:t xml:space="preserve">along the value chain and </w:t>
      </w:r>
      <w:r w:rsidR="00996665">
        <w:rPr>
          <w:rFonts w:cs="Calibri"/>
        </w:rPr>
        <w:t>over the course of the product life cycle</w:t>
      </w:r>
      <w:r w:rsidR="00023506" w:rsidRPr="00855CEA">
        <w:rPr>
          <w:rFonts w:cs="Calibri"/>
        </w:rPr>
        <w:t>.</w:t>
      </w:r>
    </w:p>
    <w:p w:rsidR="00462AD9" w:rsidRDefault="00462AD9" w:rsidP="00AB61E3">
      <w:pPr>
        <w:rPr>
          <w:rFonts w:cs="Calibri"/>
        </w:rPr>
      </w:pPr>
    </w:p>
    <w:p w:rsidR="00023506" w:rsidRPr="00855CEA" w:rsidRDefault="009E291F" w:rsidP="00023506">
      <w:r w:rsidRPr="006F5A69">
        <w:rPr>
          <w:b/>
        </w:rPr>
        <w:t>Objectives</w:t>
      </w:r>
    </w:p>
    <w:tbl>
      <w:tblPr>
        <w:tblStyle w:val="TableGrid"/>
        <w:tblW w:w="0" w:type="auto"/>
        <w:tblInd w:w="288" w:type="dxa"/>
        <w:tblLook w:val="04A0"/>
      </w:tblPr>
      <w:tblGrid>
        <w:gridCol w:w="630"/>
        <w:gridCol w:w="4590"/>
        <w:gridCol w:w="2700"/>
        <w:gridCol w:w="3870"/>
      </w:tblGrid>
      <w:tr w:rsidR="00E17DBF" w:rsidRPr="00E17DBF" w:rsidTr="007754C3">
        <w:tc>
          <w:tcPr>
            <w:tcW w:w="630" w:type="dxa"/>
          </w:tcPr>
          <w:p w:rsidR="00E17DBF" w:rsidRPr="00E17DBF" w:rsidRDefault="00E17DBF" w:rsidP="00E17DBF">
            <w:pPr>
              <w:pStyle w:val="ListParagraph"/>
              <w:tabs>
                <w:tab w:val="left" w:pos="432"/>
              </w:tabs>
              <w:ind w:left="72"/>
              <w:rPr>
                <w:rFonts w:cs="Helvetica"/>
              </w:rPr>
            </w:pPr>
            <w:r>
              <w:rPr>
                <w:rFonts w:cs="Helvetica"/>
              </w:rPr>
              <w:t>#</w:t>
            </w:r>
          </w:p>
        </w:tc>
        <w:tc>
          <w:tcPr>
            <w:tcW w:w="4590" w:type="dxa"/>
          </w:tcPr>
          <w:p w:rsidR="00E17DBF" w:rsidRPr="00E17DBF" w:rsidRDefault="00E17DBF" w:rsidP="00E17DBF">
            <w:pPr>
              <w:tabs>
                <w:tab w:val="left" w:pos="432"/>
              </w:tabs>
              <w:ind w:left="72"/>
              <w:rPr>
                <w:rFonts w:cs="Helvetica"/>
              </w:rPr>
            </w:pPr>
            <w:r>
              <w:rPr>
                <w:rFonts w:cs="Helvetica"/>
              </w:rPr>
              <w:t>Description</w:t>
            </w:r>
          </w:p>
        </w:tc>
        <w:tc>
          <w:tcPr>
            <w:tcW w:w="2700" w:type="dxa"/>
          </w:tcPr>
          <w:p w:rsidR="00E17DBF" w:rsidRPr="00E17DBF" w:rsidRDefault="00E17DBF" w:rsidP="00E17DBF">
            <w:pPr>
              <w:pStyle w:val="ListParagraph"/>
              <w:ind w:left="89"/>
              <w:rPr>
                <w:rFonts w:cs="Helvetica"/>
              </w:rPr>
            </w:pPr>
            <w:r>
              <w:rPr>
                <w:rFonts w:cs="Helvetica"/>
              </w:rPr>
              <w:t>Work Product(s)</w:t>
            </w:r>
          </w:p>
        </w:tc>
        <w:tc>
          <w:tcPr>
            <w:tcW w:w="3870" w:type="dxa"/>
          </w:tcPr>
          <w:p w:rsidR="00E17DBF" w:rsidRDefault="00E17DBF" w:rsidP="00E17DBF">
            <w:pPr>
              <w:pStyle w:val="ListParagraph"/>
              <w:ind w:left="89"/>
              <w:rPr>
                <w:rFonts w:cs="Helvetica"/>
              </w:rPr>
            </w:pPr>
            <w:r>
              <w:rPr>
                <w:rFonts w:cs="Helvetica"/>
              </w:rPr>
              <w:t>Working Group Members</w:t>
            </w: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commentRangeStart w:id="0"/>
          </w:p>
        </w:tc>
        <w:tc>
          <w:tcPr>
            <w:tcW w:w="4590" w:type="dxa"/>
          </w:tcPr>
          <w:p w:rsidR="00E17DBF" w:rsidRPr="00E17DBF" w:rsidRDefault="00E17DBF" w:rsidP="00E17DBF">
            <w:pPr>
              <w:tabs>
                <w:tab w:val="left" w:pos="432"/>
              </w:tabs>
              <w:ind w:left="72"/>
            </w:pPr>
            <w:r w:rsidRPr="00E17DBF">
              <w:rPr>
                <w:rFonts w:cs="Helvetica"/>
              </w:rPr>
              <w:t xml:space="preserve">Coordinate with the Ontologies and Databases CoR on terminology and resources and enable </w:t>
            </w:r>
            <w:r w:rsidRPr="00E17DBF">
              <w:rPr>
                <w:rFonts w:cs="Helvetica"/>
                <w:i/>
              </w:rPr>
              <w:t>inputs</w:t>
            </w:r>
            <w:r w:rsidRPr="00E17DBF">
              <w:rPr>
                <w:rFonts w:cs="Helvetica"/>
              </w:rPr>
              <w:t xml:space="preserve"> from the </w:t>
            </w:r>
            <w:r w:rsidRPr="00E17DBF">
              <w:rPr>
                <w:rFonts w:cs="Calibri"/>
              </w:rPr>
              <w:t xml:space="preserve">Ecotoxicology Testing &amp; Predictive Models CoR, the Predictive Modeling for Human Health CoR, and the Exposure through the Life Cycle CoR </w:t>
            </w:r>
            <w:r w:rsidRPr="00E17DBF">
              <w:rPr>
                <w:rFonts w:cs="Calibri"/>
                <w:i/>
              </w:rPr>
              <w:t>to be meaningfully analyzed</w:t>
            </w:r>
            <w:r w:rsidRPr="00E17DBF">
              <w:rPr>
                <w:rFonts w:cs="Calibri"/>
              </w:rPr>
              <w:t xml:space="preserve"> by methods from the Risk Assessment CoR </w:t>
            </w:r>
            <w:r w:rsidRPr="00E17DBF">
              <w:rPr>
                <w:rFonts w:cs="Calibri"/>
                <w:i/>
              </w:rPr>
              <w:t>in a manner that supports</w:t>
            </w:r>
            <w:r w:rsidRPr="00E17DBF">
              <w:rPr>
                <w:rFonts w:cs="Calibri"/>
              </w:rPr>
              <w:t xml:space="preserve"> </w:t>
            </w:r>
            <w:r w:rsidRPr="00E17DBF">
              <w:rPr>
                <w:rFonts w:cs="Calibri"/>
                <w:i/>
              </w:rPr>
              <w:t>informed decision-making</w:t>
            </w:r>
            <w:r w:rsidRPr="00E17DBF">
              <w:rPr>
                <w:rFonts w:cs="Calibri"/>
              </w:rPr>
              <w:t xml:space="preserve"> by the Risk Management &amp; Control CoR,</w:t>
            </w:r>
          </w:p>
        </w:tc>
        <w:tc>
          <w:tcPr>
            <w:tcW w:w="2700" w:type="dxa"/>
          </w:tcPr>
          <w:p w:rsidR="00E17DBF" w:rsidRPr="00E17DBF" w:rsidRDefault="00E17DBF" w:rsidP="00E17DBF">
            <w:pPr>
              <w:pStyle w:val="ListParagraph"/>
              <w:rPr>
                <w:rFonts w:cs="Helvetica"/>
              </w:rPr>
            </w:pPr>
          </w:p>
        </w:tc>
        <w:commentRangeEnd w:id="0"/>
        <w:tc>
          <w:tcPr>
            <w:tcW w:w="3870" w:type="dxa"/>
          </w:tcPr>
          <w:p w:rsidR="00E17DBF" w:rsidRPr="00E17DBF" w:rsidRDefault="007754C3" w:rsidP="00E17DBF">
            <w:pPr>
              <w:pStyle w:val="ListParagraph"/>
              <w:rPr>
                <w:rFonts w:cs="Helvetica"/>
              </w:rPr>
            </w:pPr>
            <w:r>
              <w:rPr>
                <w:rStyle w:val="CommentReference"/>
              </w:rPr>
              <w:commentReference w:id="0"/>
            </w: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Inventory methods and tools available for assessing and comparing potential risks and changes in risk for engineered nanomaterials and nano-enabled products (including applications such as medical diagnostics and treatment),</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 xml:space="preserve">Match tools with end-user mission and </w:t>
            </w:r>
            <w:r w:rsidRPr="00E17DBF">
              <w:rPr>
                <w:rFonts w:cs="Helvetica"/>
              </w:rPr>
              <w:lastRenderedPageBreak/>
              <w:t xml:space="preserve">decision needs, including the use of appropriate risk definitions, </w:t>
            </w:r>
            <w:commentRangeStart w:id="1"/>
            <w:r w:rsidRPr="00E17DBF">
              <w:rPr>
                <w:rFonts w:cs="Helvetica"/>
              </w:rPr>
              <w:t>life cycle</w:t>
            </w:r>
            <w:commentRangeEnd w:id="1"/>
            <w:r w:rsidRPr="00E17DBF">
              <w:rPr>
                <w:rStyle w:val="CommentReference"/>
              </w:rPr>
              <w:commentReference w:id="1"/>
            </w:r>
            <w:r w:rsidRPr="00E17DBF">
              <w:rPr>
                <w:rFonts w:cs="Helvetica"/>
              </w:rPr>
              <w:t xml:space="preserve">, and risk </w:t>
            </w:r>
            <w:commentRangeStart w:id="2"/>
            <w:r w:rsidRPr="00E17DBF">
              <w:rPr>
                <w:rFonts w:cs="Helvetica"/>
                <w:strike/>
              </w:rPr>
              <w:t>and benefit</w:t>
            </w:r>
            <w:r w:rsidRPr="00E17DBF">
              <w:rPr>
                <w:rFonts w:cs="Helvetica"/>
              </w:rPr>
              <w:t xml:space="preserve"> </w:t>
            </w:r>
            <w:commentRangeEnd w:id="2"/>
            <w:r w:rsidRPr="00E17DBF">
              <w:rPr>
                <w:rStyle w:val="CommentReference"/>
              </w:rPr>
              <w:commentReference w:id="2"/>
            </w:r>
            <w:r w:rsidRPr="00E17DBF">
              <w:rPr>
                <w:rFonts w:cs="Helvetica"/>
              </w:rPr>
              <w:t>assessment and management tools of appropriate computational complexity,</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Identify gaps among tools, data, stakeholder missions, and management need,</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Review data to assess underlying physicochemical parameters and environmental conditions that can be used as predictors of nanoparticle risks,</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Compare risks associated with engineered nanoparticles with those presented by materials from traditional manufacturing methods and with incidental and naturally occurring nanomaterials and evaluate associated uncertainty,</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 xml:space="preserve">Recommend a framework for including considerations of  health and environmental impacts in planning and decision-making for the production, use, and disposal/recycling of nanomaterials and nano-enabled products, </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Recommend methods for calculating risks that allow for the ability to assess associated uncertainty as well as adapt and update risk estimates as new information becomes available or as stakeholder mission and decision needs change, and</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r w:rsidR="00E17DBF" w:rsidRPr="00E17DBF" w:rsidTr="007754C3">
        <w:tc>
          <w:tcPr>
            <w:tcW w:w="630" w:type="dxa"/>
          </w:tcPr>
          <w:p w:rsidR="00E17DBF" w:rsidRPr="00E17DBF" w:rsidRDefault="00E17DBF" w:rsidP="00E17DBF">
            <w:pPr>
              <w:pStyle w:val="ListParagraph"/>
              <w:numPr>
                <w:ilvl w:val="0"/>
                <w:numId w:val="2"/>
              </w:numPr>
              <w:tabs>
                <w:tab w:val="left" w:pos="432"/>
              </w:tabs>
              <w:ind w:left="342" w:hanging="270"/>
              <w:rPr>
                <w:rFonts w:cs="Helvetica"/>
              </w:rPr>
            </w:pPr>
          </w:p>
        </w:tc>
        <w:tc>
          <w:tcPr>
            <w:tcW w:w="4590" w:type="dxa"/>
          </w:tcPr>
          <w:p w:rsidR="00E17DBF" w:rsidRPr="00E17DBF" w:rsidRDefault="00E17DBF" w:rsidP="00E17DBF">
            <w:pPr>
              <w:tabs>
                <w:tab w:val="left" w:pos="432"/>
              </w:tabs>
              <w:ind w:left="72"/>
            </w:pPr>
            <w:r w:rsidRPr="00E17DBF">
              <w:rPr>
                <w:rFonts w:cs="Helvetica"/>
              </w:rPr>
              <w:t>Identify steps forward required to produce comparable risk calculations within a defined context or mission.</w:t>
            </w:r>
          </w:p>
        </w:tc>
        <w:tc>
          <w:tcPr>
            <w:tcW w:w="2700" w:type="dxa"/>
          </w:tcPr>
          <w:p w:rsidR="00E17DBF" w:rsidRPr="00E17DBF" w:rsidRDefault="00E17DBF" w:rsidP="00E17DBF">
            <w:pPr>
              <w:pStyle w:val="ListParagraph"/>
              <w:rPr>
                <w:rFonts w:cs="Helvetica"/>
              </w:rPr>
            </w:pPr>
          </w:p>
        </w:tc>
        <w:tc>
          <w:tcPr>
            <w:tcW w:w="3870" w:type="dxa"/>
          </w:tcPr>
          <w:p w:rsidR="00E17DBF" w:rsidRPr="00E17DBF" w:rsidRDefault="00E17DBF" w:rsidP="00E17DBF">
            <w:pPr>
              <w:pStyle w:val="ListParagraph"/>
              <w:rPr>
                <w:rFonts w:cs="Helvetica"/>
              </w:rPr>
            </w:pPr>
          </w:p>
        </w:tc>
      </w:tr>
    </w:tbl>
    <w:p w:rsidR="00023506" w:rsidRPr="00855CEA" w:rsidRDefault="00023506" w:rsidP="00023506">
      <w:pPr>
        <w:pStyle w:val="ListParagraph"/>
      </w:pPr>
    </w:p>
    <w:p w:rsidR="001D25BE" w:rsidRPr="006F5A69" w:rsidRDefault="009E291F" w:rsidP="008D6CA0">
      <w:pPr>
        <w:pStyle w:val="ListParagraph"/>
        <w:ind w:left="0"/>
        <w:rPr>
          <w:b/>
        </w:rPr>
      </w:pPr>
      <w:commentRangeStart w:id="3"/>
      <w:r w:rsidRPr="006F5A69">
        <w:rPr>
          <w:b/>
        </w:rPr>
        <w:t>Work plan</w:t>
      </w:r>
      <w:commentRangeEnd w:id="3"/>
      <w:r w:rsidR="00AD4426">
        <w:rPr>
          <w:rStyle w:val="CommentReference"/>
        </w:rPr>
        <w:commentReference w:id="3"/>
      </w:r>
    </w:p>
    <w:p w:rsidR="008D6CA0" w:rsidRPr="003A198E" w:rsidRDefault="00FF36BB" w:rsidP="003A198E">
      <w:pPr>
        <w:rPr>
          <w:color w:val="FF0000"/>
        </w:rPr>
      </w:pPr>
      <w:r>
        <w:t>I</w:t>
      </w:r>
      <w:r w:rsidR="008D6CA0" w:rsidRPr="00855CEA">
        <w:t xml:space="preserve">nitiate focus groups </w:t>
      </w:r>
      <w:r w:rsidR="00351EC7">
        <w:t>to</w:t>
      </w:r>
      <w:r w:rsidR="008D6CA0" w:rsidRPr="00855CEA">
        <w:t xml:space="preserve"> address </w:t>
      </w:r>
      <w:proofErr w:type="gramStart"/>
      <w:r w:rsidR="008D6CA0" w:rsidRPr="00855CEA">
        <w:t>either cross</w:t>
      </w:r>
      <w:proofErr w:type="gramEnd"/>
      <w:r w:rsidR="00434745">
        <w:t>-</w:t>
      </w:r>
      <w:r w:rsidR="008D6CA0" w:rsidRPr="00855CEA">
        <w:t>cutting issue</w:t>
      </w:r>
      <w:r w:rsidR="00351EC7">
        <w:t>s,</w:t>
      </w:r>
      <w:r w:rsidR="00385E36">
        <w:t xml:space="preserve"> </w:t>
      </w:r>
      <w:r w:rsidR="008D6CA0" w:rsidRPr="00855CEA">
        <w:t>specific objective</w:t>
      </w:r>
      <w:r w:rsidR="00351EC7">
        <w:t>s</w:t>
      </w:r>
      <w:r w:rsidR="008D6CA0" w:rsidRPr="00855CEA">
        <w:t xml:space="preserve">, or themes, e.g. human </w:t>
      </w:r>
      <w:r w:rsidR="00385E36">
        <w:t>health</w:t>
      </w:r>
      <w:r w:rsidR="008D6CA0" w:rsidRPr="00855CEA">
        <w:t xml:space="preserve"> risk, environmental risk, </w:t>
      </w:r>
      <w:r w:rsidR="00F82DFD">
        <w:t xml:space="preserve">or </w:t>
      </w:r>
      <w:r w:rsidR="008D6CA0" w:rsidRPr="00855CEA">
        <w:t xml:space="preserve">epidemiology. The output of the focus groups and their </w:t>
      </w:r>
      <w:r w:rsidR="00F82DFD">
        <w:t xml:space="preserve">associated </w:t>
      </w:r>
      <w:r w:rsidR="008D6CA0" w:rsidRPr="00855CEA">
        <w:t>time lines might be different, e.g. harmonization of methods</w:t>
      </w:r>
      <w:r w:rsidR="00385E36">
        <w:t xml:space="preserve"> and tools</w:t>
      </w:r>
      <w:r w:rsidR="008D6CA0" w:rsidRPr="00855CEA">
        <w:t>, white papers, position papers,</w:t>
      </w:r>
      <w:r w:rsidR="00F82DFD">
        <w:t xml:space="preserve"> example methods, or </w:t>
      </w:r>
      <w:r w:rsidR="008D6CA0" w:rsidRPr="00855CEA">
        <w:t>recommendations for research, etc.</w:t>
      </w:r>
    </w:p>
    <w:sectPr w:rsidR="008D6CA0" w:rsidRPr="003A198E" w:rsidSect="007754C3">
      <w:pgSz w:w="15840" w:h="12240" w:orient="landscape"/>
      <w:pgMar w:top="1800" w:right="1440" w:bottom="180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ine Hendren" w:date="2013-02-13T12:31:00Z" w:initials="CH">
    <w:p w:rsidR="00AD4426" w:rsidRDefault="00AD4426">
      <w:pPr>
        <w:pStyle w:val="CommentText"/>
      </w:pPr>
      <w:r>
        <w:rPr>
          <w:rStyle w:val="CommentReference"/>
        </w:rPr>
        <w:annotationRef/>
      </w:r>
    </w:p>
    <w:p w:rsidR="00AD4426" w:rsidRDefault="00AD4426">
      <w:pPr>
        <w:pStyle w:val="CommentText"/>
      </w:pPr>
    </w:p>
    <w:p w:rsidR="00AD4426" w:rsidRDefault="00AD4426">
      <w:pPr>
        <w:pStyle w:val="CommentText"/>
      </w:pPr>
      <w:r>
        <w:t xml:space="preserve">We propose to utilize this table format to tighten up and finalize our Scope and Objectives.  By identifying what specifically we hope to generate within each objective that furthers the Nano Risk Assessment Community, and then by identifying which group members will address each objective, we can add some concrete plans to our vision. </w:t>
      </w:r>
    </w:p>
    <w:p w:rsidR="00AD4426" w:rsidRDefault="00AD4426">
      <w:pPr>
        <w:pStyle w:val="CommentText"/>
      </w:pPr>
    </w:p>
    <w:p w:rsidR="00AD4426" w:rsidRDefault="00AD4426">
      <w:pPr>
        <w:pStyle w:val="CommentText"/>
      </w:pPr>
      <w:r>
        <w:t>This idea also ties into the feedback from the Helsinki meeting regarding the idea to establish focus groups within the COR.  The objectives do not have to map one-to-one with focus groups, but we can discuss whether this would be helpful.</w:t>
      </w:r>
    </w:p>
    <w:p w:rsidR="00AD4426" w:rsidRDefault="00AD4426">
      <w:pPr>
        <w:pStyle w:val="CommentText"/>
      </w:pPr>
    </w:p>
    <w:p w:rsidR="00AD4426" w:rsidRPr="007754C3" w:rsidRDefault="00AD4426">
      <w:pPr>
        <w:pStyle w:val="CommentText"/>
        <w:rPr>
          <w:u w:val="single"/>
        </w:rPr>
      </w:pPr>
      <w:r w:rsidRPr="007754C3">
        <w:rPr>
          <w:u w:val="single"/>
        </w:rPr>
        <w:t xml:space="preserve">Example work products could include: </w:t>
      </w:r>
    </w:p>
    <w:p w:rsidR="00AD4426" w:rsidRDefault="00AD4426" w:rsidP="00231A73">
      <w:pPr>
        <w:pStyle w:val="CommentText"/>
        <w:numPr>
          <w:ilvl w:val="0"/>
          <w:numId w:val="4"/>
        </w:numPr>
      </w:pPr>
      <w:r>
        <w:t xml:space="preserve"> Organized postings on the eu-us.org CoR site of already existing review papers to serve as references? </w:t>
      </w:r>
    </w:p>
    <w:p w:rsidR="00AD4426" w:rsidRDefault="00AD4426" w:rsidP="007754C3">
      <w:pPr>
        <w:pStyle w:val="CommentText"/>
        <w:numPr>
          <w:ilvl w:val="0"/>
          <w:numId w:val="4"/>
        </w:numPr>
      </w:pPr>
      <w:r>
        <w:t xml:space="preserve"> Review papers in some cases? </w:t>
      </w:r>
    </w:p>
    <w:p w:rsidR="00AD4426" w:rsidRDefault="00AD4426" w:rsidP="007754C3">
      <w:pPr>
        <w:pStyle w:val="CommentText"/>
        <w:numPr>
          <w:ilvl w:val="0"/>
          <w:numId w:val="4"/>
        </w:numPr>
      </w:pPr>
      <w:r>
        <w:t xml:space="preserve"> Methods papers in some cases? </w:t>
      </w:r>
    </w:p>
    <w:p w:rsidR="00AD4426" w:rsidRDefault="00AD4426" w:rsidP="00AD4426">
      <w:pPr>
        <w:pStyle w:val="CommentText"/>
      </w:pPr>
    </w:p>
    <w:p w:rsidR="00AD4426" w:rsidRPr="00AD4426" w:rsidRDefault="00AD4426" w:rsidP="00AD4426">
      <w:pPr>
        <w:pStyle w:val="CommentText"/>
        <w:rPr>
          <w:u w:val="single"/>
        </w:rPr>
      </w:pPr>
      <w:r w:rsidRPr="00AD4426">
        <w:rPr>
          <w:u w:val="single"/>
        </w:rPr>
        <w:t xml:space="preserve">Comment from Helsinki Discussion re: Focus Groups: </w:t>
      </w:r>
    </w:p>
    <w:p w:rsidR="00AD4426" w:rsidRDefault="00AD4426" w:rsidP="00AD4426">
      <w:pPr>
        <w:pStyle w:val="CommentText"/>
      </w:pPr>
    </w:p>
    <w:p w:rsidR="00AD4426" w:rsidRDefault="00AD4426" w:rsidP="00AD4426">
      <w:pPr>
        <w:pStyle w:val="CommentText"/>
      </w:pPr>
      <w:r w:rsidRPr="00891890">
        <w:rPr>
          <w:rFonts w:ascii="Arial" w:hAnsi="Arial"/>
          <w:lang w:val="en-GB"/>
        </w:rPr>
        <w:t>During the discussion we figure</w:t>
      </w:r>
      <w:r>
        <w:rPr>
          <w:rFonts w:ascii="Arial" w:hAnsi="Arial"/>
          <w:lang w:val="en-GB"/>
        </w:rPr>
        <w:t>d</w:t>
      </w:r>
      <w:r w:rsidRPr="00891890">
        <w:rPr>
          <w:rFonts w:ascii="Arial" w:hAnsi="Arial"/>
          <w:lang w:val="en-GB"/>
        </w:rPr>
        <w:t xml:space="preserve"> out focus groups on </w:t>
      </w:r>
      <w:r w:rsidRPr="00C3387F">
        <w:rPr>
          <w:rFonts w:ascii="Arial" w:hAnsi="Arial"/>
          <w:lang w:val="fi-FI"/>
        </w:rPr>
        <w:t>”Benefit analysis”</w:t>
      </w:r>
      <w:r>
        <w:rPr>
          <w:rFonts w:ascii="Arial" w:hAnsi="Arial"/>
          <w:lang w:val="fi-FI"/>
        </w:rPr>
        <w:t xml:space="preserve">, </w:t>
      </w:r>
      <w:r w:rsidRPr="00C3387F">
        <w:rPr>
          <w:rFonts w:ascii="Arial" w:hAnsi="Arial"/>
          <w:lang w:val="fi-FI"/>
        </w:rPr>
        <w:t>”Product Cycle/ Fate Analysis/ Value Chain”</w:t>
      </w:r>
      <w:r>
        <w:rPr>
          <w:rFonts w:ascii="Arial" w:hAnsi="Arial"/>
          <w:lang w:val="fi-FI"/>
        </w:rPr>
        <w:t xml:space="preserve">, </w:t>
      </w:r>
      <w:r w:rsidRPr="00C3387F">
        <w:rPr>
          <w:rFonts w:ascii="Arial" w:hAnsi="Arial"/>
          <w:lang w:val="fi-FI"/>
        </w:rPr>
        <w:t>”Exposure Pathways/ Scenarios”</w:t>
      </w:r>
      <w:r>
        <w:rPr>
          <w:rFonts w:ascii="Arial" w:hAnsi="Arial"/>
          <w:lang w:val="fi-FI"/>
        </w:rPr>
        <w:t xml:space="preserve">, </w:t>
      </w:r>
      <w:r w:rsidRPr="00C3387F">
        <w:rPr>
          <w:rFonts w:ascii="Arial" w:hAnsi="Arial"/>
          <w:lang w:val="fi-FI"/>
        </w:rPr>
        <w:t>”Data needs”</w:t>
      </w:r>
      <w:r>
        <w:rPr>
          <w:rFonts w:ascii="Arial" w:hAnsi="Arial"/>
          <w:lang w:val="fi-FI"/>
        </w:rPr>
        <w:t xml:space="preserve">, </w:t>
      </w:r>
      <w:r w:rsidRPr="00C3387F">
        <w:rPr>
          <w:rFonts w:ascii="Arial" w:hAnsi="Arial"/>
          <w:lang w:val="fi-FI"/>
        </w:rPr>
        <w:t>”Data harmonization”</w:t>
      </w:r>
      <w:r>
        <w:rPr>
          <w:rFonts w:ascii="Arial" w:hAnsi="Arial"/>
          <w:lang w:val="fi-FI"/>
        </w:rPr>
        <w:t xml:space="preserve">, </w:t>
      </w:r>
      <w:r w:rsidRPr="00C3387F">
        <w:rPr>
          <w:rFonts w:ascii="Arial" w:hAnsi="Arial"/>
          <w:lang w:val="fi-FI"/>
        </w:rPr>
        <w:t>”Inventory tools”</w:t>
      </w:r>
      <w:r>
        <w:rPr>
          <w:rFonts w:ascii="Arial" w:hAnsi="Arial"/>
          <w:lang w:val="fi-FI"/>
        </w:rPr>
        <w:t xml:space="preserve"> and </w:t>
      </w:r>
      <w:r w:rsidRPr="00C3387F">
        <w:rPr>
          <w:rFonts w:ascii="Arial" w:hAnsi="Arial"/>
          <w:lang w:val="fi-FI"/>
        </w:rPr>
        <w:t>”Human R</w:t>
      </w:r>
      <w:r>
        <w:rPr>
          <w:rFonts w:ascii="Arial" w:hAnsi="Arial"/>
          <w:lang w:val="fi-FI"/>
        </w:rPr>
        <w:t xml:space="preserve">isk </w:t>
      </w:r>
      <w:r w:rsidRPr="00C3387F">
        <w:rPr>
          <w:rFonts w:ascii="Arial" w:hAnsi="Arial"/>
          <w:lang w:val="fi-FI"/>
        </w:rPr>
        <w:t>A</w:t>
      </w:r>
      <w:r>
        <w:rPr>
          <w:rFonts w:ascii="Arial" w:hAnsi="Arial"/>
          <w:lang w:val="fi-FI"/>
        </w:rPr>
        <w:t>ssessment” as well as ”Environmental</w:t>
      </w:r>
      <w:r w:rsidRPr="00C3387F">
        <w:rPr>
          <w:rFonts w:ascii="Arial" w:hAnsi="Arial"/>
          <w:lang w:val="fi-FI"/>
        </w:rPr>
        <w:t xml:space="preserve"> R</w:t>
      </w:r>
      <w:r>
        <w:rPr>
          <w:rFonts w:ascii="Arial" w:hAnsi="Arial"/>
          <w:lang w:val="fi-FI"/>
        </w:rPr>
        <w:t xml:space="preserve">isk </w:t>
      </w:r>
      <w:r w:rsidRPr="00C3387F">
        <w:rPr>
          <w:rFonts w:ascii="Arial" w:hAnsi="Arial"/>
          <w:lang w:val="fi-FI"/>
        </w:rPr>
        <w:t>A</w:t>
      </w:r>
      <w:r>
        <w:rPr>
          <w:rFonts w:ascii="Arial" w:hAnsi="Arial"/>
          <w:lang w:val="fi-FI"/>
        </w:rPr>
        <w:t>ssessment</w:t>
      </w:r>
      <w:r w:rsidRPr="00C3387F">
        <w:rPr>
          <w:rFonts w:ascii="Arial" w:hAnsi="Arial"/>
          <w:lang w:val="fi-FI"/>
        </w:rPr>
        <w:t>”</w:t>
      </w:r>
      <w:r>
        <w:rPr>
          <w:rFonts w:ascii="Arial" w:hAnsi="Arial"/>
          <w:lang w:val="fi-FI"/>
        </w:rPr>
        <w:t xml:space="preserve"> should be formed.</w:t>
      </w:r>
    </w:p>
  </w:comment>
  <w:comment w:id="1" w:author="Christine Hendren" w:date="2013-02-13T12:31:00Z" w:initials="CH">
    <w:p w:rsidR="00AD4426" w:rsidRPr="00AD4426" w:rsidRDefault="00AD4426" w:rsidP="00E17DBF">
      <w:pPr>
        <w:jc w:val="both"/>
        <w:rPr>
          <w:u w:val="single"/>
        </w:rPr>
      </w:pPr>
      <w:r>
        <w:rPr>
          <w:rStyle w:val="CommentReference"/>
        </w:rPr>
        <w:annotationRef/>
      </w:r>
      <w:r w:rsidRPr="00AD4426">
        <w:rPr>
          <w:u w:val="single"/>
        </w:rPr>
        <w:t xml:space="preserve">Comment from Helsinki discussion: </w:t>
      </w:r>
    </w:p>
    <w:p w:rsidR="00AD4426" w:rsidRPr="00891890" w:rsidRDefault="00AD4426" w:rsidP="00E17DBF">
      <w:pPr>
        <w:jc w:val="both"/>
        <w:rPr>
          <w:rFonts w:ascii="Arial" w:hAnsi="Arial"/>
          <w:lang w:val="en-GB"/>
        </w:rPr>
      </w:pPr>
      <w:r w:rsidRPr="00891890">
        <w:rPr>
          <w:rFonts w:ascii="Arial" w:hAnsi="Arial"/>
          <w:lang w:val="en-GB"/>
        </w:rPr>
        <w:t>If we use the phrase "life cycle assessment" this might create confusion as this implies something different than inten</w:t>
      </w:r>
      <w:r>
        <w:rPr>
          <w:rFonts w:ascii="Arial" w:hAnsi="Arial"/>
          <w:lang w:val="en-GB"/>
        </w:rPr>
        <w:t>d</w:t>
      </w:r>
      <w:r w:rsidRPr="00891890">
        <w:rPr>
          <w:rFonts w:ascii="Arial" w:hAnsi="Arial"/>
          <w:lang w:val="en-GB"/>
        </w:rPr>
        <w:t>ed by us. We should rather call it "Product cycle", "Value chain" or "Fate analysis".</w:t>
      </w:r>
    </w:p>
    <w:p w:rsidR="00AD4426" w:rsidRDefault="00AD4426">
      <w:pPr>
        <w:pStyle w:val="CommentText"/>
      </w:pPr>
    </w:p>
  </w:comment>
  <w:comment w:id="2" w:author="Christine Hendren" w:date="2013-02-13T12:31:00Z" w:initials="CH">
    <w:p w:rsidR="00AD4426" w:rsidRPr="00AD4426" w:rsidRDefault="00AD4426">
      <w:pPr>
        <w:pStyle w:val="CommentText"/>
        <w:rPr>
          <w:u w:val="single"/>
        </w:rPr>
      </w:pPr>
      <w:r>
        <w:rPr>
          <w:rStyle w:val="CommentReference"/>
        </w:rPr>
        <w:annotationRef/>
      </w:r>
      <w:r w:rsidRPr="00AD4426">
        <w:rPr>
          <w:u w:val="single"/>
        </w:rPr>
        <w:t xml:space="preserve">Comment from Helsinki discussion: </w:t>
      </w:r>
    </w:p>
    <w:p w:rsidR="00AD4426" w:rsidRDefault="00AD4426">
      <w:pPr>
        <w:pStyle w:val="CommentText"/>
      </w:pPr>
    </w:p>
    <w:p w:rsidR="00AD4426" w:rsidRDefault="00AD4426">
      <w:pPr>
        <w:pStyle w:val="CommentText"/>
      </w:pPr>
      <w:r w:rsidRPr="00891890">
        <w:rPr>
          <w:rFonts w:ascii="Arial" w:hAnsi="Arial"/>
          <w:lang w:val="en-GB"/>
        </w:rPr>
        <w:t>"Risk Assessment" is a well defined term and as well "Benefit Analysis". Another point was that although benefit assessment is important and certainly needs to be ad</w:t>
      </w:r>
      <w:r>
        <w:rPr>
          <w:rFonts w:ascii="Arial" w:hAnsi="Arial"/>
          <w:lang w:val="en-GB"/>
        </w:rPr>
        <w:t>d</w:t>
      </w:r>
      <w:r w:rsidRPr="00891890">
        <w:rPr>
          <w:rFonts w:ascii="Arial" w:hAnsi="Arial"/>
          <w:lang w:val="en-GB"/>
        </w:rPr>
        <w:t>ressed, it might be too much for one CoR to do both. It will be a lot of work to ad</w:t>
      </w:r>
      <w:r>
        <w:rPr>
          <w:rFonts w:ascii="Arial" w:hAnsi="Arial"/>
          <w:lang w:val="en-GB"/>
        </w:rPr>
        <w:t>d</w:t>
      </w:r>
      <w:r w:rsidRPr="00891890">
        <w:rPr>
          <w:rFonts w:ascii="Arial" w:hAnsi="Arial"/>
          <w:lang w:val="en-GB"/>
        </w:rPr>
        <w:t>ress "risk assessment" approp</w:t>
      </w:r>
      <w:r>
        <w:rPr>
          <w:rFonts w:ascii="Arial" w:hAnsi="Arial"/>
          <w:lang w:val="en-GB"/>
        </w:rPr>
        <w:t>r</w:t>
      </w:r>
      <w:r w:rsidRPr="00891890">
        <w:rPr>
          <w:rFonts w:ascii="Arial" w:hAnsi="Arial"/>
          <w:lang w:val="en-GB"/>
        </w:rPr>
        <w:t>iately. Finally the participants agreed that "benefit analysis" should not be left out completely.</w:t>
      </w:r>
    </w:p>
  </w:comment>
  <w:comment w:id="3" w:author="Christine Hendren" w:date="2013-02-13T12:33:00Z" w:initials="CH">
    <w:p w:rsidR="00AD4426" w:rsidRDefault="00AD4426">
      <w:pPr>
        <w:pStyle w:val="CommentText"/>
      </w:pPr>
      <w:r>
        <w:rPr>
          <w:rStyle w:val="CommentReference"/>
        </w:rPr>
        <w:annotationRef/>
      </w:r>
      <w:r>
        <w:t>The assignment of work products and associated people within the objective table will help drive the workplan.</w:t>
      </w:r>
      <w:bookmarkStart w:id="4" w:name="_GoBack"/>
      <w:bookmarkEnd w:id="4"/>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125"/>
    <w:multiLevelType w:val="hybridMultilevel"/>
    <w:tmpl w:val="EC22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E5A29"/>
    <w:multiLevelType w:val="hybridMultilevel"/>
    <w:tmpl w:val="273C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C5C1D"/>
    <w:multiLevelType w:val="hybridMultilevel"/>
    <w:tmpl w:val="05748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0B5BBC"/>
    <w:multiLevelType w:val="hybridMultilevel"/>
    <w:tmpl w:val="1F72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023506"/>
    <w:rsid w:val="000100AC"/>
    <w:rsid w:val="00023506"/>
    <w:rsid w:val="00133A43"/>
    <w:rsid w:val="00164ABF"/>
    <w:rsid w:val="001A7FAC"/>
    <w:rsid w:val="001D25BE"/>
    <w:rsid w:val="001E4B9F"/>
    <w:rsid w:val="00231A73"/>
    <w:rsid w:val="00264AF8"/>
    <w:rsid w:val="00322D69"/>
    <w:rsid w:val="00351EC7"/>
    <w:rsid w:val="00373ABB"/>
    <w:rsid w:val="00374C30"/>
    <w:rsid w:val="00385E36"/>
    <w:rsid w:val="003A198E"/>
    <w:rsid w:val="003C5F27"/>
    <w:rsid w:val="003F450A"/>
    <w:rsid w:val="00415F2F"/>
    <w:rsid w:val="00434745"/>
    <w:rsid w:val="00454A20"/>
    <w:rsid w:val="00462AD9"/>
    <w:rsid w:val="004D0281"/>
    <w:rsid w:val="004E164C"/>
    <w:rsid w:val="00513AD7"/>
    <w:rsid w:val="005329AA"/>
    <w:rsid w:val="00533171"/>
    <w:rsid w:val="00595662"/>
    <w:rsid w:val="00644108"/>
    <w:rsid w:val="00680939"/>
    <w:rsid w:val="006B2E2B"/>
    <w:rsid w:val="006F5A69"/>
    <w:rsid w:val="007754C3"/>
    <w:rsid w:val="007845FE"/>
    <w:rsid w:val="007A71C8"/>
    <w:rsid w:val="007B47DE"/>
    <w:rsid w:val="007E43D4"/>
    <w:rsid w:val="00820192"/>
    <w:rsid w:val="00825C03"/>
    <w:rsid w:val="00834339"/>
    <w:rsid w:val="0084159B"/>
    <w:rsid w:val="00855BC6"/>
    <w:rsid w:val="00855CEA"/>
    <w:rsid w:val="00881E0A"/>
    <w:rsid w:val="008C2908"/>
    <w:rsid w:val="008D6CA0"/>
    <w:rsid w:val="00942991"/>
    <w:rsid w:val="00996665"/>
    <w:rsid w:val="009D5AD2"/>
    <w:rsid w:val="009E291F"/>
    <w:rsid w:val="009E6878"/>
    <w:rsid w:val="00A80C57"/>
    <w:rsid w:val="00A8635C"/>
    <w:rsid w:val="00AB61E3"/>
    <w:rsid w:val="00AD4426"/>
    <w:rsid w:val="00AD6032"/>
    <w:rsid w:val="00B247F4"/>
    <w:rsid w:val="00B31749"/>
    <w:rsid w:val="00BE38D1"/>
    <w:rsid w:val="00C006F7"/>
    <w:rsid w:val="00C0745F"/>
    <w:rsid w:val="00C60BB0"/>
    <w:rsid w:val="00C77497"/>
    <w:rsid w:val="00CA01E4"/>
    <w:rsid w:val="00CB6C5A"/>
    <w:rsid w:val="00DD62C7"/>
    <w:rsid w:val="00E17DBF"/>
    <w:rsid w:val="00E31B44"/>
    <w:rsid w:val="00EA10E7"/>
    <w:rsid w:val="00EB7EE2"/>
    <w:rsid w:val="00EC0606"/>
    <w:rsid w:val="00F306EB"/>
    <w:rsid w:val="00F54737"/>
    <w:rsid w:val="00F82DFD"/>
    <w:rsid w:val="00FF36B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506"/>
    <w:pPr>
      <w:ind w:left="720"/>
      <w:contextualSpacing/>
    </w:pPr>
  </w:style>
  <w:style w:type="character" w:customStyle="1" w:styleId="apple-converted-space">
    <w:name w:val="apple-converted-space"/>
    <w:basedOn w:val="DefaultParagraphFont"/>
    <w:uiPriority w:val="99"/>
    <w:rsid w:val="004D0281"/>
  </w:style>
  <w:style w:type="paragraph" w:styleId="BalloonText">
    <w:name w:val="Balloon Text"/>
    <w:basedOn w:val="Normal"/>
    <w:link w:val="BalloonTextChar"/>
    <w:uiPriority w:val="99"/>
    <w:semiHidden/>
    <w:unhideWhenUsed/>
    <w:rsid w:val="00855BC6"/>
    <w:rPr>
      <w:rFonts w:ascii="Tahoma" w:hAnsi="Tahoma" w:cs="Tahoma"/>
      <w:sz w:val="16"/>
      <w:szCs w:val="16"/>
    </w:rPr>
  </w:style>
  <w:style w:type="character" w:customStyle="1" w:styleId="BalloonTextChar">
    <w:name w:val="Balloon Text Char"/>
    <w:basedOn w:val="DefaultParagraphFont"/>
    <w:link w:val="BalloonText"/>
    <w:uiPriority w:val="99"/>
    <w:semiHidden/>
    <w:rsid w:val="00855BC6"/>
    <w:rPr>
      <w:rFonts w:ascii="Tahoma" w:hAnsi="Tahoma" w:cs="Tahoma"/>
      <w:sz w:val="16"/>
      <w:szCs w:val="16"/>
    </w:rPr>
  </w:style>
  <w:style w:type="character" w:styleId="CommentReference">
    <w:name w:val="annotation reference"/>
    <w:basedOn w:val="DefaultParagraphFont"/>
    <w:uiPriority w:val="99"/>
    <w:semiHidden/>
    <w:unhideWhenUsed/>
    <w:rsid w:val="00B31749"/>
    <w:rPr>
      <w:sz w:val="16"/>
      <w:szCs w:val="16"/>
    </w:rPr>
  </w:style>
  <w:style w:type="paragraph" w:styleId="CommentText">
    <w:name w:val="annotation text"/>
    <w:basedOn w:val="Normal"/>
    <w:link w:val="CommentTextChar"/>
    <w:uiPriority w:val="99"/>
    <w:semiHidden/>
    <w:unhideWhenUsed/>
    <w:rsid w:val="00B31749"/>
    <w:rPr>
      <w:sz w:val="20"/>
      <w:szCs w:val="20"/>
    </w:rPr>
  </w:style>
  <w:style w:type="character" w:customStyle="1" w:styleId="CommentTextChar">
    <w:name w:val="Comment Text Char"/>
    <w:basedOn w:val="DefaultParagraphFont"/>
    <w:link w:val="CommentText"/>
    <w:uiPriority w:val="99"/>
    <w:semiHidden/>
    <w:rsid w:val="00B31749"/>
  </w:style>
  <w:style w:type="paragraph" w:styleId="CommentSubject">
    <w:name w:val="annotation subject"/>
    <w:basedOn w:val="CommentText"/>
    <w:next w:val="CommentText"/>
    <w:link w:val="CommentSubjectChar"/>
    <w:uiPriority w:val="99"/>
    <w:semiHidden/>
    <w:unhideWhenUsed/>
    <w:rsid w:val="00B31749"/>
    <w:rPr>
      <w:b/>
      <w:bCs/>
    </w:rPr>
  </w:style>
  <w:style w:type="character" w:customStyle="1" w:styleId="CommentSubjectChar">
    <w:name w:val="Comment Subject Char"/>
    <w:basedOn w:val="CommentTextChar"/>
    <w:link w:val="CommentSubject"/>
    <w:uiPriority w:val="99"/>
    <w:semiHidden/>
    <w:rsid w:val="00B31749"/>
    <w:rPr>
      <w:b/>
      <w:bCs/>
    </w:rPr>
  </w:style>
  <w:style w:type="paragraph" w:styleId="Revision">
    <w:name w:val="Revision"/>
    <w:hidden/>
    <w:uiPriority w:val="99"/>
    <w:semiHidden/>
    <w:rsid w:val="00C0745F"/>
    <w:rPr>
      <w:rFonts w:ascii="Cambria" w:eastAsia="Times New Roman" w:hAnsi="Cambria" w:cs="Times New Roman"/>
    </w:rPr>
  </w:style>
  <w:style w:type="table" w:styleId="TableGrid">
    <w:name w:val="Table Grid"/>
    <w:basedOn w:val="TableNormal"/>
    <w:uiPriority w:val="59"/>
    <w:rsid w:val="00E1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D44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4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506"/>
    <w:pPr>
      <w:ind w:left="720"/>
      <w:contextualSpacing/>
    </w:pPr>
  </w:style>
  <w:style w:type="character" w:customStyle="1" w:styleId="apple-converted-space">
    <w:name w:val="apple-converted-space"/>
    <w:basedOn w:val="DefaultParagraphFont"/>
    <w:uiPriority w:val="99"/>
    <w:rsid w:val="004D0281"/>
  </w:style>
  <w:style w:type="paragraph" w:styleId="BalloonText">
    <w:name w:val="Balloon Text"/>
    <w:basedOn w:val="Normal"/>
    <w:link w:val="BalloonTextChar"/>
    <w:uiPriority w:val="99"/>
    <w:semiHidden/>
    <w:unhideWhenUsed/>
    <w:rsid w:val="00855BC6"/>
    <w:rPr>
      <w:rFonts w:ascii="Tahoma" w:hAnsi="Tahoma" w:cs="Tahoma"/>
      <w:sz w:val="16"/>
      <w:szCs w:val="16"/>
    </w:rPr>
  </w:style>
  <w:style w:type="character" w:customStyle="1" w:styleId="BalloonTextChar">
    <w:name w:val="Balloon Text Char"/>
    <w:basedOn w:val="DefaultParagraphFont"/>
    <w:link w:val="BalloonText"/>
    <w:uiPriority w:val="99"/>
    <w:semiHidden/>
    <w:rsid w:val="00855BC6"/>
    <w:rPr>
      <w:rFonts w:ascii="Tahoma" w:hAnsi="Tahoma" w:cs="Tahoma"/>
      <w:sz w:val="16"/>
      <w:szCs w:val="16"/>
    </w:rPr>
  </w:style>
  <w:style w:type="character" w:styleId="CommentReference">
    <w:name w:val="annotation reference"/>
    <w:basedOn w:val="DefaultParagraphFont"/>
    <w:uiPriority w:val="99"/>
    <w:semiHidden/>
    <w:unhideWhenUsed/>
    <w:rsid w:val="00B31749"/>
    <w:rPr>
      <w:sz w:val="16"/>
      <w:szCs w:val="16"/>
    </w:rPr>
  </w:style>
  <w:style w:type="paragraph" w:styleId="CommentText">
    <w:name w:val="annotation text"/>
    <w:basedOn w:val="Normal"/>
    <w:link w:val="CommentTextChar"/>
    <w:uiPriority w:val="99"/>
    <w:semiHidden/>
    <w:unhideWhenUsed/>
    <w:rsid w:val="00B31749"/>
    <w:rPr>
      <w:sz w:val="20"/>
      <w:szCs w:val="20"/>
    </w:rPr>
  </w:style>
  <w:style w:type="character" w:customStyle="1" w:styleId="CommentTextChar">
    <w:name w:val="Comment Text Char"/>
    <w:basedOn w:val="DefaultParagraphFont"/>
    <w:link w:val="CommentText"/>
    <w:uiPriority w:val="99"/>
    <w:semiHidden/>
    <w:rsid w:val="00B31749"/>
  </w:style>
  <w:style w:type="paragraph" w:styleId="CommentSubject">
    <w:name w:val="annotation subject"/>
    <w:basedOn w:val="CommentText"/>
    <w:next w:val="CommentText"/>
    <w:link w:val="CommentSubjectChar"/>
    <w:uiPriority w:val="99"/>
    <w:semiHidden/>
    <w:unhideWhenUsed/>
    <w:rsid w:val="00B31749"/>
    <w:rPr>
      <w:b/>
      <w:bCs/>
    </w:rPr>
  </w:style>
  <w:style w:type="character" w:customStyle="1" w:styleId="CommentSubjectChar">
    <w:name w:val="Comment Subject Char"/>
    <w:basedOn w:val="CommentTextChar"/>
    <w:link w:val="CommentSubject"/>
    <w:uiPriority w:val="99"/>
    <w:semiHidden/>
    <w:rsid w:val="00B31749"/>
    <w:rPr>
      <w:b/>
      <w:bCs/>
    </w:rPr>
  </w:style>
  <w:style w:type="paragraph" w:styleId="Revision">
    <w:name w:val="Revision"/>
    <w:hidden/>
    <w:uiPriority w:val="99"/>
    <w:semiHidden/>
    <w:rsid w:val="00C0745F"/>
    <w:rPr>
      <w:rFonts w:ascii="Cambria" w:eastAsia="Times New Roman" w:hAnsi="Cambria" w:cs="Times New Roman"/>
    </w:rPr>
  </w:style>
  <w:style w:type="table" w:styleId="TableGrid">
    <w:name w:val="Table Grid"/>
    <w:basedOn w:val="TableNormal"/>
    <w:uiPriority w:val="59"/>
    <w:rsid w:val="00E1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D44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4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87861537">
      <w:bodyDiv w:val="1"/>
      <w:marLeft w:val="0"/>
      <w:marRight w:val="0"/>
      <w:marTop w:val="0"/>
      <w:marBottom w:val="0"/>
      <w:divBdr>
        <w:top w:val="none" w:sz="0" w:space="0" w:color="auto"/>
        <w:left w:val="none" w:sz="0" w:space="0" w:color="auto"/>
        <w:bottom w:val="none" w:sz="0" w:space="0" w:color="auto"/>
        <w:right w:val="none" w:sz="0" w:space="0" w:color="auto"/>
      </w:divBdr>
    </w:div>
    <w:div w:id="153303725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D0DB-A69B-48AD-B076-CC02DBFA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Duke University</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Wiesner</dc:creator>
  <cp:keywords/>
  <dc:description/>
  <cp:lastModifiedBy>Stacey Standridge</cp:lastModifiedBy>
  <cp:revision>2</cp:revision>
  <cp:lastPrinted>2012-07-25T12:30:00Z</cp:lastPrinted>
  <dcterms:created xsi:type="dcterms:W3CDTF">2013-02-13T18:41:00Z</dcterms:created>
  <dcterms:modified xsi:type="dcterms:W3CDTF">2013-02-13T18:41:00Z</dcterms:modified>
</cp:coreProperties>
</file>